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2021" w14:textId="77777777" w:rsidR="000D3468" w:rsidRPr="000D3468" w:rsidRDefault="000D3468" w:rsidP="000D3468">
      <w:pPr>
        <w:shd w:val="clear" w:color="auto" w:fill="FFFFFF"/>
        <w:spacing w:after="180" w:line="360" w:lineRule="atLeast"/>
        <w:jc w:val="center"/>
        <w:rPr>
          <w:rFonts w:ascii="Lucida Sans Unicode" w:eastAsia="Times New Roman" w:hAnsi="Lucida Sans Unicode" w:cs="Lucida Sans Unicode"/>
          <w:b/>
          <w:bCs/>
          <w:color w:val="004171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004171"/>
          <w:lang w:eastAsia="it-IT"/>
        </w:rPr>
        <w:t>Programma Cittadini, Uguaglianza, Diritti e Valori – Bando 2022 promuovere e proteggere i diritti dei minori</w:t>
      </w:r>
    </w:p>
    <w:p w14:paraId="3C60750C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Titolo</w:t>
      </w:r>
    </w:p>
    <w:p w14:paraId="5B77113E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Citizens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Equality,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Rights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and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Values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Programme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(CERV) - Call for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proposals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to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protect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and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promote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the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rights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of the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child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- CERV-2022-CHILD</w:t>
      </w:r>
    </w:p>
    <w:p w14:paraId="01DD6719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Oggetto</w:t>
      </w:r>
    </w:p>
    <w:p w14:paraId="25C8C8F4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Bando nell’ambito del programma Cittadini, Uguaglianza, Diritti e Valori (CERV):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sostegno a progetti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volti a promuovere e proteggere i diritti dei minori.</w:t>
      </w:r>
    </w:p>
    <w:p w14:paraId="22D20C31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Fonte</w:t>
      </w:r>
    </w:p>
    <w:p w14:paraId="6F2A6C38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Commissione europea - Funding &amp; Tender Portal del 15/12/2021</w:t>
      </w:r>
    </w:p>
    <w:p w14:paraId="498697EE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Ente Erogatore</w:t>
      </w:r>
    </w:p>
    <w:p w14:paraId="4B7F5B67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Commissione europea</w:t>
      </w:r>
    </w:p>
    <w:p w14:paraId="6FE2655E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Obiettivo</w:t>
      </w:r>
    </w:p>
    <w:p w14:paraId="5B57B704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Sostenere, promuovere e attuare politiche complessive per proteggere e promuovere i diritti dei minori.</w:t>
      </w:r>
    </w:p>
    <w:p w14:paraId="4F14F5A2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In particolare, il bando intende contribuire all’attuazione della prima area tematica della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highlight w:val="yellow"/>
          <w:lang w:eastAsia="it-IT"/>
        </w:rPr>
        <w:t> </w:t>
      </w:r>
      <w:hyperlink r:id="rId4" w:history="1">
        <w:r w:rsidRPr="000D3468">
          <w:rPr>
            <w:rFonts w:ascii="Lucida Sans Unicode" w:eastAsia="Times New Roman" w:hAnsi="Lucida Sans Unicode" w:cs="Lucida Sans Unicode"/>
            <w:i/>
            <w:iCs/>
            <w:color w:val="0000FF"/>
            <w:sz w:val="17"/>
            <w:szCs w:val="17"/>
            <w:highlight w:val="yellow"/>
            <w:u w:val="single"/>
            <w:lang w:eastAsia="it-IT"/>
          </w:rPr>
          <w:t>Strategia UE sui diritti dei minori</w:t>
        </w:r>
      </w:hyperlink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highlight w:val="yellow"/>
          <w:lang w:eastAsia="it-IT"/>
        </w:rPr>
        <w:t>, ovvero Partecipazione alla vita politica e democratica – un’Unione che consente ai minori di essere cittadini e membri attivi di società democratiche.</w:t>
      </w:r>
    </w:p>
    <w:p w14:paraId="7220383E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Azioni</w:t>
      </w:r>
    </w:p>
    <w:p w14:paraId="591A8E0B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Progetti orientati a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rafforzare la sostenibilità e l'impatto dei meccanismi di partecipazione dei minori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(nuovi o esistenti) nei processi decisionali.</w:t>
      </w:r>
    </w:p>
    <w:p w14:paraId="6AC82F02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Attività finanziabili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 xml:space="preserve">- Istituzione di programmi a lungo termine e sostenibili,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nonchè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di meccanismi di partecipazione dei minori a livello locale e nazionale, anche nelle scuole;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 Supporto e ampliamento della portata operativa dei meccanismi di partecipazione dei minori allo scopo di inserirli nei più ampi processi decisionali e nel sistema democratico a livello locale e nazionale;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 Apprendimento reciproco, attività di formazione, scambio di buone pratiche, cooperazione, compresa l’individuazione di buone pratiche;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 xml:space="preserve">-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Capacity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building e formazione delle autorità nazionali, regionali e locali;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 Attività di formazione e sensibilizzazione per bambini e adulti sul diritto ad essere ascoltati e sulla partecipazione dei minori.</w:t>
      </w:r>
    </w:p>
    <w:p w14:paraId="1CC058F7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Ci si attende che le azioni intraprese realizzino i seguenti risultati: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 Attuazione della Strategia UE sui diritti dei minori e delle sue raccomandazioni agli Stati membri;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 Miglioramento della partecipazione dei minori a livello locale e nazionale, anche nelle scuole;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 Creazione di meccanismi di partecipazione dei minori a livello locale e nazionale;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lastRenderedPageBreak/>
        <w:t>- Rafforzamento delle conoscenze e delle competenze su come integrare la partecipazione dei minori nel processo decisionale a livello locale e nazionale.</w:t>
      </w:r>
    </w:p>
    <w:p w14:paraId="1A21AB50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Si intende sostenere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progetti sia nazionali che transnazionali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.</w:t>
      </w:r>
    </w:p>
    <w:p w14:paraId="18B5DCA7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Beneficiari</w:t>
      </w:r>
    </w:p>
    <w:p w14:paraId="13DEBC2D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Enti pubblici e organizzazioni private stabiliti in uno dei Paesi ammissibili (indicati a fondo scheda). Il bando è aperto anche ad organizzazioni internazionali.</w:t>
      </w:r>
    </w:p>
    <w:p w14:paraId="62E5C517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Entità Contributo</w:t>
      </w:r>
    </w:p>
    <w:p w14:paraId="23C6ECC8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Il contributo UE può coprire fino al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90%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dei costi ammissibili del progetto. La sovvenzione richiesta non può essere inferiore a 75.000 euro.</w:t>
      </w:r>
    </w:p>
    <w:p w14:paraId="21767DF0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Modalità e procedura</w:t>
      </w:r>
    </w:p>
    <w:p w14:paraId="59CA2C63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I progetti devono essere presentati da un consorzio costituito da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almeno due soggetti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(proponente di progetto + 1 partner). Se il progetto è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transnazionale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, essi devono essere stabiliti in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due diversi Paesi ammissibili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. Organizzazioni a scopo di lucro possono presentare progetti solo in partnership con enti pubblici o organizzazioni private non-profit. È fortemente incoraggiato il coinvolgimento nel progetto di un'autorità pubblica.</w:t>
      </w:r>
    </w:p>
    <w:p w14:paraId="3C15C7C1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I progetti devono avere una durata compresa tra 12 e 24 mesi (con inizio entro 6 mesi dalla firma dell'accordo di sovvenzione, prevista per novembre-dicembre 2022).</w:t>
      </w:r>
    </w:p>
    <w:p w14:paraId="2A9CFF45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Scadenza</w:t>
      </w:r>
    </w:p>
    <w:p w14:paraId="63F9D0D5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18/05/2022, ore 17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(ora di Bruxelles)</w:t>
      </w:r>
    </w:p>
    <w:p w14:paraId="01CD6242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Risorse finanziarie disponibili</w:t>
      </w:r>
    </w:p>
    <w:p w14:paraId="3F3F4083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3.010.000 euro</w:t>
      </w:r>
    </w:p>
    <w:p w14:paraId="789AC6D1" w14:textId="77777777" w:rsidR="000D3468" w:rsidRPr="000D3468" w:rsidRDefault="000D3468" w:rsidP="000D3468">
      <w:pPr>
        <w:shd w:val="clear" w:color="auto" w:fill="C7E1F1"/>
        <w:spacing w:before="180" w:after="6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Aree Geografiche</w:t>
      </w:r>
    </w:p>
    <w:p w14:paraId="64CA3FFA" w14:textId="77777777" w:rsidR="000D3468" w:rsidRPr="000D3468" w:rsidRDefault="000D3468" w:rsidP="000D3468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UE 27 (post Brexit)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- Austria, Belgio, Bulgaria, Cechia, Cipro, Croazia, Danimarca, Estonia, Finlandia, Francia, Germania, Grecia, Irlanda, Italia, Lettonia, Lituania, Lussemburgo, Malta, Olanda, Polonia, Portogallo, Romania, Slovacchia, Slovenia, Spagna, Svezia, Ungheria.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PTOM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- Paesi e Territori d'Oltremare: Paesi, territori e collettività che non sono sovrani ma dipendono in misura diversa dai tre Stati membri con i quali mantengono legami speciali, ovvero 1.Olanda: Aruba,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Bonaire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Curaçao, Saba,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Sint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Eustatius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Sint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Maarten; 2. Francia: Nuova Caledonia, Polinesia francese, Terre australi e antartiche francesi, Isole di Wallis e Futuna, Saint Pierre e Miquelon, Saint Barthélemy; 3. Danimarca: Groenlandia</w:t>
      </w:r>
    </w:p>
    <w:p w14:paraId="3E0543FF" w14:textId="77777777" w:rsidR="000D3468" w:rsidRPr="000D3468" w:rsidRDefault="000D3468" w:rsidP="000D3468">
      <w:pPr>
        <w:shd w:val="clear" w:color="auto" w:fill="C7E1F1"/>
        <w:spacing w:before="180" w:after="6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Indirizzi Utili</w:t>
      </w:r>
    </w:p>
    <w:p w14:paraId="6B0E4FDF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 xml:space="preserve">Referente: Funding and </w:t>
      </w:r>
      <w:proofErr w:type="spellStart"/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Tenders</w:t>
      </w:r>
      <w:proofErr w:type="spellEnd"/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 xml:space="preserve"> Portal - Pagina web di riferimento per il bando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hyperlink r:id="rId5" w:tgtFrame="_blank" w:history="1">
        <w:r w:rsidRPr="000D3468">
          <w:rPr>
            <w:rFonts w:ascii="Lucida Sans Unicode" w:eastAsia="Times New Roman" w:hAnsi="Lucida Sans Unicode" w:cs="Lucida Sans Unicode"/>
            <w:color w:val="015A9C"/>
            <w:sz w:val="17"/>
            <w:szCs w:val="17"/>
            <w:u w:val="single"/>
            <w:lang w:eastAsia="it-IT"/>
          </w:rPr>
          <w:t>Sito Web</w:t>
        </w:r>
      </w:hyperlink>
    </w:p>
    <w:p w14:paraId="1F1B0DBB" w14:textId="77777777" w:rsidR="000D3468" w:rsidRPr="000D3468" w:rsidRDefault="000D3468" w:rsidP="000D3468">
      <w:pPr>
        <w:shd w:val="clear" w:color="auto" w:fill="C7E1F1"/>
        <w:spacing w:before="180" w:after="6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Formulari e Documenti</w:t>
      </w:r>
    </w:p>
    <w:p w14:paraId="6BEA922D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noProof/>
          <w:color w:val="515151"/>
          <w:sz w:val="17"/>
          <w:szCs w:val="17"/>
          <w:lang w:eastAsia="it-IT"/>
        </w:rPr>
        <w:drawing>
          <wp:inline distT="0" distB="0" distL="0" distR="0" wp14:anchorId="20F6C0FC" wp14:editId="3556481B">
            <wp:extent cx="64135" cy="116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0D3468">
          <w:rPr>
            <w:rFonts w:ascii="Lucida Sans Unicode" w:eastAsia="Times New Roman" w:hAnsi="Lucida Sans Unicode" w:cs="Lucida Sans Unicode"/>
            <w:color w:val="015A9C"/>
            <w:sz w:val="17"/>
            <w:szCs w:val="17"/>
            <w:u w:val="single"/>
            <w:lang w:eastAsia="it-IT"/>
          </w:rPr>
          <w:t> Testo del bando CERV-2022-CHILD (link)</w:t>
        </w:r>
      </w:hyperlink>
    </w:p>
    <w:p w14:paraId="298815A0" w14:textId="77777777" w:rsidR="000D3468" w:rsidRDefault="000D3468" w:rsidP="000D3468">
      <w:pPr>
        <w:shd w:val="clear" w:color="auto" w:fill="FFFFFF"/>
        <w:spacing w:after="180" w:line="360" w:lineRule="atLeast"/>
        <w:jc w:val="center"/>
        <w:rPr>
          <w:rFonts w:ascii="Lucida Sans Unicode" w:eastAsia="Times New Roman" w:hAnsi="Lucida Sans Unicode" w:cs="Lucida Sans Unicode"/>
          <w:b/>
          <w:bCs/>
          <w:color w:val="004171"/>
          <w:lang w:eastAsia="it-IT"/>
        </w:rPr>
      </w:pPr>
    </w:p>
    <w:p w14:paraId="06197087" w14:textId="6A17AE56" w:rsidR="000D3468" w:rsidRPr="000D3468" w:rsidRDefault="000D3468" w:rsidP="000D3468">
      <w:pPr>
        <w:shd w:val="clear" w:color="auto" w:fill="FFFFFF"/>
        <w:spacing w:after="180" w:line="360" w:lineRule="atLeast"/>
        <w:jc w:val="center"/>
        <w:rPr>
          <w:rFonts w:ascii="Lucida Sans Unicode" w:eastAsia="Times New Roman" w:hAnsi="Lucida Sans Unicode" w:cs="Lucida Sans Unicode"/>
          <w:b/>
          <w:bCs/>
          <w:color w:val="004171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004171"/>
          <w:lang w:eastAsia="it-IT"/>
        </w:rPr>
        <w:lastRenderedPageBreak/>
        <w:t>Europa Creativa - CULTURA: Bando per progetti di cooperazione europea (CREA-CULT-2022-COOP)</w:t>
      </w:r>
    </w:p>
    <w:p w14:paraId="18FEAACF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Titolo</w:t>
      </w:r>
    </w:p>
    <w:p w14:paraId="7CEB90C7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Creative Europe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Programme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(CREA) - Call for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proposals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European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Cooperation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projects (CREA-CULT-2022-COOP)</w:t>
      </w:r>
    </w:p>
    <w:p w14:paraId="741E0A5E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Oggetto</w:t>
      </w:r>
    </w:p>
    <w:p w14:paraId="3F809D87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Europa Creativa – Sezione Cultura: bando 2022 per progetti di cooperazione europea</w:t>
      </w:r>
    </w:p>
    <w:p w14:paraId="442814BE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Fonte</w:t>
      </w:r>
    </w:p>
    <w:p w14:paraId="50B0888D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Commissione europea - Funding &amp; Tender Portal del 1/2/2022</w:t>
      </w:r>
    </w:p>
    <w:p w14:paraId="1F7366A9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Ente Erogatore</w:t>
      </w:r>
    </w:p>
    <w:p w14:paraId="29362847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Commissione europea</w:t>
      </w:r>
    </w:p>
    <w:p w14:paraId="1DB3FF31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Azioni</w:t>
      </w:r>
    </w:p>
    <w:p w14:paraId="1D51B4A6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Sostegno a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progetti di cooperazione transnazionale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che coinvolgono organismi attivi nei settori culturali e creativi provenienti da differenti Paesi per realizzare attività settoriali o intersettoriali.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I progetti possono riguardare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tutti i settori della cultura e creatività ad esclusione dell’audiovisivo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(non sono ammissibili progetti che coinvolgono esclusivamente organismi del settore audiovisivo o i cui contenuti e attività riguardino esclusivamente l’audiovisivo).</w:t>
      </w:r>
    </w:p>
    <w:p w14:paraId="628C0078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Vengono sostenute tre categorie di progetti: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Progetti di piccola scala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che coinvolgono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almeno 3 soggetti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(il capofila di progetto + almeno 2 partner) di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3 diversi Paesi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ammissibili.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Progetti di media scala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che coinvolgono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almeno 5 soggetti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(il capofila di progetto + almeno 4 partner) di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5 diversi Paesi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ammissibili.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Progetti di larga scala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che coinvolgono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almeno 10 soggetti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(il capofila di progetto + almeno 9 partner) di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10 diversi Paesi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ammissibili.</w:t>
      </w:r>
    </w:p>
    <w:p w14:paraId="2FFAF654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I progetti devono contribuire a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u w:val="single"/>
          <w:lang w:eastAsia="it-IT"/>
        </w:rPr>
        <w:t>uno dei due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seguenti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obiettivi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1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. Creazione e circolazione transnazionale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, ovvero rafforzare la creazione e la circolazione transnazionali di opere e artisti europei.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2. 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Innovazione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, ovvero migliorare la capacità dei settori culturali e creativi europei di coltivare talenti, innovare, prosperare e generare posti di lavoro e crescita.</w:t>
      </w:r>
    </w:p>
    <w:p w14:paraId="49C8BC39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I progetti devono inoltre riguardare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u w:val="single"/>
          <w:lang w:eastAsia="it-IT"/>
        </w:rPr>
        <w:t>almeno una (e massimo due)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delle seguenti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priorità: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1.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 Pubblico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aumentare l'accesso e la partecipazione alla cultura, nonché il coinvolgimento e lo sviluppo del pubblico sia fisicamente che digitalmente.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2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Inclusione sociale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promuovere la resilienza e migliorare l'inclusione sociale nella/attraverso la cultura, in particolare per le persone con disabilità e le persone appartenenti a minoranze e a gruppi socialmente emarginati, e promuovere il dialogo interculturale.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3. 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Sostenibilità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in linea con il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Green </w:t>
      </w:r>
      <w:proofErr w:type="spellStart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Deal</w:t>
      </w:r>
      <w:proofErr w:type="spellEnd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 europeo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e il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Nuovo Bauhaus europeo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co-creare, adottare e diffondere 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lastRenderedPageBreak/>
        <w:t>pratiche più rispettose dell'ambiente, nonché sensibilizzare sullo sviluppo sostenibile attraverso attività culturali.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4. 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Digitale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aiutare i settori culturali e creativi a intraprendere o accelerare la loro transizione digitale, anche in risposta alla crisi da COVID-19.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5. 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Dimensione internazionale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sviluppare la capacità dei settori culturali e creativi europei, comprese le organizzazioni di base e le micro-organizzazioni, di operare a livello internazionale.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6. 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Priorità specifiche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settoriali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ovvero attività di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capacity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building nei seguenti settori volte a: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Musica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rafforzare la capacità dei professionisti del settore 1) nella promozione, distribuzione e monetizzazione della musica, in particolare per affrontare le nuove tendenze (digitali, giuridiche e tecnologiche) derivanti da innovazioni nel mercato e da nuovi modelli di business; o 2) nella circolazione transfrontaliera della musica europea ed esportazione della musica al di fuori dell'UE.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Editoria e Libro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rafforzare lo sviluppo professionale dei traduttori europei che lavorano per il settore letterario o teatrale; o facilitare la promozione internazionale delle opere letterarie e la vendita dei diritti di traduzione al fine di aumentare la circolazione e la diversità dei libri europei, in particolare delle opere scritte nelle lingue meno utilizzate, in Europa e oltre.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Architettura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rafforzare la capacità degli operatori del settore 1) nell’apprendimento tra pari e nel coinvolgimento del pubblico, al fine di diffondere e integrare nei processi di progettazione, pianificazione e costruzione i principi dell’alta qualità nell'architettura contemporanea e negli interventi sul patrimonio culturale; o 2) nella salvaguardia sostenibile della rigenerazione e del riutilizzo adattivo del patrimonio culturale e nella promozione dei suoi valori; o 3) nell’integrazione dei principi del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Green </w:t>
      </w:r>
      <w:proofErr w:type="spellStart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Deal</w:t>
      </w:r>
      <w:proofErr w:type="spellEnd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 europeo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e del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Nuovo Bauhaus Europeo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nelle pratiche applicate dal settore; o 3) nell’internazionalizzazione delle carriere.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Patrimonio culturale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rafforzare la capacità dei professionisti del settore 1) nel coinvolgimento e mediazione con i cittadini nell’interpretazione, comunicazione e presentazione del patrimonio culturale, per sviluppare relazioni con il pubblico e le parti interessate; o 2) nella digitalizzazione del materiale del patrimonio culturale, dei siti e degli edifici storici, compreso l'uso di tecnologie 3D e AI; o 3) nella gestione del rischio, con focus sulla prevenzione e preparazione al rischio in relazione a calamità naturali e non, compreso l'adattamento e la mitigazione dei cambiamenti climatici in conformità con i principi del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Green </w:t>
      </w:r>
      <w:proofErr w:type="spellStart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Deal</w:t>
      </w:r>
      <w:proofErr w:type="spellEnd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 europeo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Moda e Design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rafforzare la capacità dei professionisti della moda e del design 1) nella creazione artistica, promozione, distribuzione e monetizzazione, per aiutare questi settori ad affrontare in particolare le nuove tendenze digitali (tra cui l’uso delle tecnologie 3D e AI), giuridiche e tecnologiche derivanti da innovazioni nel mercato e da nuovi modelli di business; o 2) nell’ integrazione dei principi del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Green </w:t>
      </w:r>
      <w:proofErr w:type="spellStart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Deal</w:t>
      </w:r>
      <w:proofErr w:type="spellEnd"/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 xml:space="preserve"> europeo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e del </w:t>
      </w:r>
      <w:r w:rsidRPr="000D3468">
        <w:rPr>
          <w:rFonts w:ascii="Lucida Sans Unicode" w:eastAsia="Times New Roman" w:hAnsi="Lucida Sans Unicode" w:cs="Lucida Sans Unicode"/>
          <w:i/>
          <w:iCs/>
          <w:color w:val="515151"/>
          <w:sz w:val="17"/>
          <w:szCs w:val="17"/>
          <w:lang w:eastAsia="it-IT"/>
        </w:rPr>
        <w:t>Nuovo Bauhaus Europeo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nelle pratiche applicate dai settori; o 3) nell’internazionalizzazione delle carriere.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Turismo culturale sostenibile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: rafforzare la capacità dei professionisti del settore 1) sul campo del turismo sostenibile (attività di formazione, sensibilizzazione alla sostenibilità, tematiche ambientali, turismo responsabile, ecc.); o 2) nello sviluppo di indicatori (capacità ricettiva, efficienza energetica, gestione responsabile dei rifiuti), di strumenti di valutazione e nella rilevazione di dati qualitativi e quantitativi; o 3) nella transizione digitale per sfruttare l'impatto economico del turismo culturale sostenibile (compreso l'uso delle tecnologie 3D e AI).</w:t>
      </w:r>
    </w:p>
    <w:p w14:paraId="34E9AA07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I progetti dei settori musica, editoria, architettura, patrimonio culturale, moda e design, turismo culturale sostenibile possono affrontare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una delle priorità di cui ai punti 1-5 oppure le priorità specifiche del settore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. I 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lastRenderedPageBreak/>
        <w:t>progetti inerenti altri settori della cultura e creatività possono invece essere orientati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solo alle priorità indicate da 1 a 5.</w:t>
      </w:r>
    </w:p>
    <w:p w14:paraId="032CA7C9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I progetti proposti devono anche contribuire </w:t>
      </w:r>
      <w:proofErr w:type="gram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alle promozione</w:t>
      </w:r>
      <w:proofErr w:type="gram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dell’inclusione, della diversità e della parità di genere, nonché della sostenibilità ambientale nei settori culturali (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 xml:space="preserve">cross-cutting </w:t>
      </w:r>
      <w:proofErr w:type="spellStart"/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issues</w:t>
      </w:r>
      <w:proofErr w:type="spellEnd"/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 xml:space="preserve"> del programma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).</w:t>
      </w:r>
    </w:p>
    <w:p w14:paraId="632D8A4E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Tutti i progetti devono avere una durata massima di 48 mesi.</w:t>
      </w:r>
    </w:p>
    <w:p w14:paraId="651FCCB2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Si prevede di finanziare circa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130 progetti.</w:t>
      </w:r>
    </w:p>
    <w:p w14:paraId="0FFCAAE6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Beneficiari</w:t>
      </w:r>
    </w:p>
    <w:p w14:paraId="6B34F20C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Persone giuridiche, pubbliche e private, attive nei settori culturali e creativi stabilite in uno dei Paesi ammissibili ad Europa Creativa. Questi Paesi sono: Stati UE, compresi PTOM; Paesi EFTA/SEE; altri Paesi terzi come indicato in questo </w:t>
      </w:r>
      <w:hyperlink r:id="rId8" w:history="1">
        <w:r w:rsidRPr="000D3468">
          <w:rPr>
            <w:rFonts w:ascii="Lucida Sans Unicode" w:eastAsia="Times New Roman" w:hAnsi="Lucida Sans Unicode" w:cs="Lucida Sans Unicode"/>
            <w:color w:val="0000FF"/>
            <w:sz w:val="17"/>
            <w:szCs w:val="17"/>
            <w:u w:val="single"/>
            <w:lang w:eastAsia="it-IT"/>
          </w:rPr>
          <w:t>documento</w:t>
        </w:r>
      </w:hyperlink>
      <w:r w:rsidRPr="000D3468">
        <w:rPr>
          <w:rFonts w:ascii="Lucida Sans Unicode" w:eastAsia="Times New Roman" w:hAnsi="Lucida Sans Unicode" w:cs="Lucida Sans Unicode"/>
          <w:color w:val="0000FF"/>
          <w:sz w:val="17"/>
          <w:szCs w:val="17"/>
          <w:lang w:eastAsia="it-IT"/>
        </w:rPr>
        <w:t>.</w:t>
      </w:r>
    </w:p>
    <w:p w14:paraId="6936B4E9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Il bando è aperto anche ad organizzazioni internazionali.</w:t>
      </w:r>
    </w:p>
    <w:p w14:paraId="72C746E7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Il capofila di progetto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deve essere legalmente costituito da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almeno 2 anni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alla data di scadenza del bando.</w:t>
      </w:r>
    </w:p>
    <w:p w14:paraId="61F7FA36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Entità Contributo</w:t>
      </w:r>
    </w:p>
    <w:p w14:paraId="0146D1D9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Progetti di piccola scala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: contributo UE fino all’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80%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del costo del progetto per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massimo 200.000 €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Progetti di media scala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: contributo UE fino al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70%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del costo del progetto per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massimo 1.000.000 €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br/>
        <w:t>-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Progetti di larga scala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: contributo UE fino al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60%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 del costo del progetto per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massimo 2.000.000 €</w:t>
      </w:r>
    </w:p>
    <w:p w14:paraId="14ED1859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Scadenza</w:t>
      </w:r>
    </w:p>
    <w:p w14:paraId="66CBCFBE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31 marzo 2022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, 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highlight w:val="yellow"/>
          <w:lang w:eastAsia="it-IT"/>
        </w:rPr>
        <w:t>ore 17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highlight w:val="yellow"/>
          <w:lang w:eastAsia="it-IT"/>
        </w:rPr>
        <w:t>(ora di Bruxelles)</w:t>
      </w:r>
    </w:p>
    <w:p w14:paraId="33EDA752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Referente</w:t>
      </w:r>
    </w:p>
    <w:p w14:paraId="3F38B72D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Agenzia esecutiva europea per l’istruzione e la cultura (EACEA)</w:t>
      </w:r>
    </w:p>
    <w:p w14:paraId="7DD810A3" w14:textId="77777777" w:rsidR="000D3468" w:rsidRPr="000D3468" w:rsidRDefault="000D3468" w:rsidP="000D3468">
      <w:pPr>
        <w:shd w:val="clear" w:color="auto" w:fill="EFEFE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Risorse finanziarie disponibili</w:t>
      </w:r>
    </w:p>
    <w:p w14:paraId="65032E81" w14:textId="77777777" w:rsidR="000D3468" w:rsidRPr="000D3468" w:rsidRDefault="000D3468" w:rsidP="000D3468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68.607.267 €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, così ripartiti: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- 24.012.543 € per i progetti di piccola scala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br/>
        <w:t>- 24.012.543 € per i progetti di media scala</w:t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br/>
        <w:t>- 20.582.181 € per i progetti di larga scala</w:t>
      </w:r>
    </w:p>
    <w:p w14:paraId="461BFD47" w14:textId="77777777" w:rsidR="000D3468" w:rsidRPr="000D3468" w:rsidRDefault="000D3468" w:rsidP="000D3468">
      <w:pPr>
        <w:shd w:val="clear" w:color="auto" w:fill="C7E1F1"/>
        <w:spacing w:before="180" w:after="6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</w:pPr>
      <w:r w:rsidRPr="000D3468">
        <w:rPr>
          <w:rFonts w:ascii="Trebuchet MS" w:eastAsia="Times New Roman" w:hAnsi="Trebuchet MS" w:cs="Times New Roman"/>
          <w:b/>
          <w:bCs/>
          <w:color w:val="515151"/>
          <w:sz w:val="31"/>
          <w:szCs w:val="31"/>
          <w:lang w:eastAsia="it-IT"/>
        </w:rPr>
        <w:t>Aree Geografiche</w:t>
      </w:r>
    </w:p>
    <w:p w14:paraId="3AD074A5" w14:textId="77777777" w:rsidR="000D3468" w:rsidRPr="000D3468" w:rsidRDefault="000D3468" w:rsidP="000D346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</w:pP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UE 27 (post Brexit)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- Austria, Belgio, Bulgaria, Cechia, Cipro, Croazia, Danimarca, Estonia, Finlandia, Francia, Germania, Grecia, Irlanda, Italia, Lettonia, Lituania, Lussemburgo, Malta, Olanda, Polonia, Portogallo, Romania, Slovacchia, Slovenia, Spagna, Svezia, Ungheria.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PTOM 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- Paesi e Territori d'Oltremare: Paesi, territori e collettività che non sono sovrani ma dipendono in misura diversa dai tre Stati membri con i quali mantengono legami speciali, ovvero 1.Olanda: Aruba,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Bonaire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Curaçao, Saba,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Sint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Eustatius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, </w:t>
      </w:r>
      <w:proofErr w:type="spellStart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Sint</w:t>
      </w:r>
      <w:proofErr w:type="spellEnd"/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 xml:space="preserve"> Maarten; 2. Francia: Nuova Caledonia, Polinesia francese, Terre australi e antartiche francesi, Isole di Wallis e Futuna, Saint Pierre e Miquelon, Saint Barthélemy; 3. Danimarca: Groenlandia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lastRenderedPageBreak/>
        <w:t>Paesi specifici/Regioni specifiche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- Come specificato nella scheda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br/>
      </w:r>
      <w:r w:rsidRPr="000D3468">
        <w:rPr>
          <w:rFonts w:ascii="Lucida Sans Unicode" w:eastAsia="Times New Roman" w:hAnsi="Lucida Sans Unicode" w:cs="Lucida Sans Unicode"/>
          <w:b/>
          <w:bCs/>
          <w:color w:val="515151"/>
          <w:sz w:val="17"/>
          <w:szCs w:val="17"/>
          <w:lang w:eastAsia="it-IT"/>
        </w:rPr>
        <w:t>EFTA/SEE</w:t>
      </w:r>
      <w:r w:rsidRPr="000D3468">
        <w:rPr>
          <w:rFonts w:ascii="Lucida Sans Unicode" w:eastAsia="Times New Roman" w:hAnsi="Lucida Sans Unicode" w:cs="Lucida Sans Unicode"/>
          <w:color w:val="515151"/>
          <w:sz w:val="17"/>
          <w:szCs w:val="17"/>
          <w:lang w:eastAsia="it-IT"/>
        </w:rPr>
        <w:t> - Norvegia, Islanda e Liechtenstein.</w:t>
      </w:r>
    </w:p>
    <w:p w14:paraId="59C01FED" w14:textId="77777777" w:rsidR="006F4CA8" w:rsidRDefault="006F4CA8"/>
    <w:sectPr w:rsidR="006F4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68"/>
    <w:rsid w:val="000D3468"/>
    <w:rsid w:val="006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2E0"/>
  <w15:chartTrackingRefBased/>
  <w15:docId w15:val="{E526ADAE-8D2C-4B0C-8047-67653F9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crea/guidance/list-3rd-country-participation_crea_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opafacile.net/Scheda/Download?p=https://ec.europa.eu/info/funding-tenders/opportunities/docs/2021-2027/cerv/wp-call/2022/call-fiche_cerv-2022-child_en.pdf%20&amp;t=D&amp;o=37062&amp;a=36357&amp;r=491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ec.europa.eu/info/funding-tenders/opportunities/portal/screen/opportunities/topic-details/cerv-2022-child;callCode=null;freeTextSearchKeyword=;matchWholeText=true;typeCodes=1,0;statusCodes=31094501,31094502;programmePeriod=2021%20-%202027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-lex.europa.eu/legal-content/IT/TXT/PDF/?uri=CELEX:52021DC0142&amp;from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2112</Words>
  <Characters>12041</Characters>
  <Application>Microsoft Office Word</Application>
  <DocSecurity>0</DocSecurity>
  <Lines>100</Lines>
  <Paragraphs>28</Paragraphs>
  <ScaleCrop>false</ScaleCrop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ciompi</dc:creator>
  <cp:keywords/>
  <dc:description/>
  <cp:lastModifiedBy>roberto ciompi</cp:lastModifiedBy>
  <cp:revision>1</cp:revision>
  <dcterms:created xsi:type="dcterms:W3CDTF">2022-02-14T08:11:00Z</dcterms:created>
  <dcterms:modified xsi:type="dcterms:W3CDTF">2022-02-14T08:19:00Z</dcterms:modified>
</cp:coreProperties>
</file>